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3B6A" w:rsidRDefault="00E841EB">
      <w:pPr>
        <w:rPr>
          <w:rFonts w:eastAsia="黑体"/>
          <w:sz w:val="40"/>
          <w:szCs w:val="44"/>
        </w:rPr>
      </w:pPr>
      <w:r>
        <w:rPr>
          <w:rFonts w:eastAsia="黑体" w:hint="eastAsia"/>
          <w:sz w:val="40"/>
          <w:szCs w:val="44"/>
        </w:rPr>
        <w:t>枣庄市主城区停车场专项规划（</w:t>
      </w:r>
      <w:r w:rsidRPr="000841A0">
        <w:rPr>
          <w:rFonts w:ascii="Times New Roman" w:eastAsia="黑体" w:hAnsi="Times New Roman" w:cs="Times New Roman"/>
          <w:sz w:val="40"/>
          <w:szCs w:val="44"/>
        </w:rPr>
        <w:t>2022-2035</w:t>
      </w:r>
      <w:r>
        <w:rPr>
          <w:rFonts w:eastAsia="黑体" w:hint="eastAsia"/>
          <w:sz w:val="40"/>
          <w:szCs w:val="44"/>
        </w:rPr>
        <w:t>年）</w:t>
      </w:r>
    </w:p>
    <w:p w:rsidR="000841A0" w:rsidRDefault="000841A0" w:rsidP="000841A0">
      <w:pPr>
        <w:spacing w:line="360" w:lineRule="auto"/>
        <w:jc w:val="center"/>
        <w:rPr>
          <w:rFonts w:eastAsia="黑体"/>
          <w:sz w:val="40"/>
          <w:szCs w:val="44"/>
        </w:rPr>
      </w:pPr>
      <w:r w:rsidRPr="000841A0">
        <w:rPr>
          <w:rFonts w:eastAsia="黑体" w:hint="eastAsia"/>
          <w:sz w:val="40"/>
          <w:szCs w:val="44"/>
        </w:rPr>
        <w:t>（征求意见稿</w:t>
      </w:r>
      <w:r w:rsidRPr="000841A0">
        <w:rPr>
          <w:rFonts w:eastAsia="黑体"/>
          <w:sz w:val="40"/>
          <w:szCs w:val="44"/>
        </w:rPr>
        <w:t>）</w:t>
      </w:r>
    </w:p>
    <w:p w:rsidR="00E841EB" w:rsidRPr="00E841EB" w:rsidRDefault="00E841EB" w:rsidP="00E841EB">
      <w:pPr>
        <w:pStyle w:val="1"/>
        <w:spacing w:beforeLines="150" w:before="468" w:afterLines="80" w:after="249"/>
        <w:ind w:firstLine="0"/>
        <w:rPr>
          <w:b/>
          <w:sz w:val="32"/>
          <w:szCs w:val="32"/>
        </w:rPr>
      </w:pPr>
      <w:bookmarkStart w:id="0" w:name="_Toc139441721"/>
      <w:r>
        <w:rPr>
          <w:rFonts w:hint="eastAsia"/>
          <w:b/>
          <w:sz w:val="32"/>
          <w:szCs w:val="32"/>
        </w:rPr>
        <w:t>总则</w:t>
      </w:r>
      <w:bookmarkEnd w:id="0"/>
    </w:p>
    <w:p w:rsidR="00E841EB" w:rsidRDefault="00E841EB" w:rsidP="00E841EB">
      <w:pPr>
        <w:pStyle w:val="a3"/>
        <w:spacing w:beforeLines="100" w:before="312" w:line="360" w:lineRule="auto"/>
        <w:ind w:left="170" w:firstLineChars="0" w:firstLine="0"/>
        <w:outlineLvl w:val="1"/>
        <w:rPr>
          <w:rFonts w:eastAsia="黑体"/>
          <w:b/>
          <w:sz w:val="24"/>
          <w:szCs w:val="28"/>
        </w:rPr>
      </w:pPr>
      <w:bookmarkStart w:id="1" w:name="_Toc139441722"/>
      <w:r>
        <w:rPr>
          <w:rFonts w:eastAsia="黑体"/>
          <w:b/>
          <w:sz w:val="24"/>
          <w:szCs w:val="28"/>
        </w:rPr>
        <w:t>1</w:t>
      </w:r>
      <w:r w:rsidR="007355DB">
        <w:rPr>
          <w:rFonts w:eastAsia="黑体" w:hint="eastAsia"/>
          <w:b/>
          <w:sz w:val="24"/>
          <w:szCs w:val="28"/>
        </w:rPr>
        <w:t>.</w:t>
      </w:r>
      <w:r>
        <w:rPr>
          <w:rFonts w:eastAsia="黑体" w:hint="eastAsia"/>
          <w:b/>
          <w:sz w:val="24"/>
          <w:szCs w:val="28"/>
        </w:rPr>
        <w:t>规划背景</w:t>
      </w:r>
      <w:bookmarkEnd w:id="1"/>
    </w:p>
    <w:p w:rsidR="00E841EB" w:rsidRDefault="00E841EB" w:rsidP="00E841EB">
      <w:pPr>
        <w:spacing w:line="360" w:lineRule="auto"/>
        <w:ind w:firstLineChars="200" w:firstLine="480"/>
        <w:rPr>
          <w:rFonts w:eastAsia="宋体"/>
          <w:sz w:val="24"/>
          <w:szCs w:val="24"/>
        </w:rPr>
      </w:pPr>
      <w:r>
        <w:rPr>
          <w:rFonts w:hint="eastAsia"/>
          <w:sz w:val="24"/>
          <w:szCs w:val="24"/>
        </w:rPr>
        <w:t>为推动城市停车设施建设，落实国家、山东省对城市停车设施规划、建设、发展的相要求，提升城市品质和管理服务水平，</w:t>
      </w:r>
      <w:proofErr w:type="gramStart"/>
      <w:r>
        <w:rPr>
          <w:rFonts w:hint="eastAsia"/>
          <w:sz w:val="24"/>
          <w:szCs w:val="24"/>
        </w:rPr>
        <w:t>践行</w:t>
      </w:r>
      <w:proofErr w:type="gramEnd"/>
      <w:r>
        <w:rPr>
          <w:rFonts w:ascii="宋体" w:hAnsi="宋体" w:hint="eastAsia"/>
          <w:sz w:val="24"/>
          <w:szCs w:val="24"/>
        </w:rPr>
        <w:t>“</w:t>
      </w:r>
      <w:r>
        <w:rPr>
          <w:rFonts w:hint="eastAsia"/>
          <w:sz w:val="24"/>
          <w:szCs w:val="24"/>
        </w:rPr>
        <w:t>人民城市人民建，人民城市为人民</w:t>
      </w:r>
      <w:r>
        <w:rPr>
          <w:rFonts w:ascii="宋体" w:hAnsi="宋体" w:hint="eastAsia"/>
          <w:sz w:val="24"/>
          <w:szCs w:val="24"/>
        </w:rPr>
        <w:t>”</w:t>
      </w:r>
      <w:r>
        <w:rPr>
          <w:rFonts w:hint="eastAsia"/>
          <w:sz w:val="24"/>
          <w:szCs w:val="24"/>
        </w:rPr>
        <w:t>的重要理念，切实提高人民群众幸福感和获得感，</w:t>
      </w:r>
      <w:proofErr w:type="gramStart"/>
      <w:r>
        <w:rPr>
          <w:rFonts w:hint="eastAsia"/>
          <w:sz w:val="24"/>
          <w:szCs w:val="24"/>
        </w:rPr>
        <w:t>特启动</w:t>
      </w:r>
      <w:proofErr w:type="gramEnd"/>
      <w:r>
        <w:rPr>
          <w:rFonts w:hint="eastAsia"/>
          <w:sz w:val="24"/>
          <w:szCs w:val="24"/>
        </w:rPr>
        <w:t>本次规划编制。</w:t>
      </w:r>
    </w:p>
    <w:p w:rsidR="00E841EB" w:rsidRPr="00E841EB" w:rsidRDefault="00E841EB" w:rsidP="00E841EB">
      <w:pPr>
        <w:pStyle w:val="a3"/>
        <w:spacing w:beforeLines="100" w:before="312" w:line="360" w:lineRule="auto"/>
        <w:ind w:left="170" w:firstLineChars="0" w:firstLine="0"/>
        <w:outlineLvl w:val="1"/>
        <w:rPr>
          <w:rFonts w:eastAsia="黑体"/>
          <w:b/>
          <w:sz w:val="24"/>
          <w:szCs w:val="28"/>
        </w:rPr>
      </w:pPr>
      <w:bookmarkStart w:id="2" w:name="_Toc139441723"/>
      <w:r>
        <w:rPr>
          <w:rFonts w:eastAsia="黑体" w:hint="eastAsia"/>
          <w:b/>
          <w:sz w:val="24"/>
          <w:szCs w:val="28"/>
        </w:rPr>
        <w:t>2</w:t>
      </w:r>
      <w:r w:rsidR="007355DB">
        <w:rPr>
          <w:rFonts w:eastAsia="黑体" w:hint="eastAsia"/>
          <w:b/>
          <w:sz w:val="24"/>
          <w:szCs w:val="28"/>
        </w:rPr>
        <w:t>.</w:t>
      </w:r>
      <w:r w:rsidRPr="00E841EB">
        <w:rPr>
          <w:rFonts w:eastAsia="黑体" w:hint="eastAsia"/>
          <w:b/>
          <w:sz w:val="24"/>
          <w:szCs w:val="28"/>
        </w:rPr>
        <w:t>规划范围</w:t>
      </w:r>
      <w:bookmarkEnd w:id="2"/>
    </w:p>
    <w:p w:rsidR="00E841EB" w:rsidRDefault="00E841EB" w:rsidP="00E841EB">
      <w:pPr>
        <w:spacing w:line="360" w:lineRule="auto"/>
        <w:ind w:firstLineChars="200" w:firstLine="480"/>
        <w:rPr>
          <w:rFonts w:eastAsia="宋体"/>
          <w:sz w:val="24"/>
          <w:szCs w:val="24"/>
        </w:rPr>
      </w:pPr>
      <w:r>
        <w:rPr>
          <w:rFonts w:hint="eastAsia"/>
          <w:sz w:val="24"/>
          <w:szCs w:val="24"/>
        </w:rPr>
        <w:t>规划范围为《枣庄市国土空间总体规划（</w:t>
      </w:r>
      <w:r w:rsidRPr="00E841EB">
        <w:rPr>
          <w:rFonts w:ascii="Times New Roman" w:hAnsi="Times New Roman" w:cs="Times New Roman"/>
          <w:sz w:val="24"/>
          <w:szCs w:val="24"/>
        </w:rPr>
        <w:t>2021-2035</w:t>
      </w:r>
      <w:r>
        <w:rPr>
          <w:rFonts w:hint="eastAsia"/>
          <w:sz w:val="24"/>
          <w:szCs w:val="24"/>
        </w:rPr>
        <w:t>年）》中确定的主城区范围。</w:t>
      </w:r>
    </w:p>
    <w:p w:rsidR="00E841EB" w:rsidRDefault="00E841EB" w:rsidP="00E841EB">
      <w:pPr>
        <w:pStyle w:val="a3"/>
        <w:spacing w:beforeLines="100" w:before="312" w:line="360" w:lineRule="auto"/>
        <w:ind w:left="170" w:firstLineChars="0" w:firstLine="0"/>
        <w:outlineLvl w:val="1"/>
        <w:rPr>
          <w:rFonts w:eastAsia="黑体"/>
          <w:b/>
          <w:sz w:val="24"/>
          <w:szCs w:val="28"/>
        </w:rPr>
      </w:pPr>
      <w:bookmarkStart w:id="3" w:name="_Toc139441724"/>
      <w:r>
        <w:rPr>
          <w:rFonts w:eastAsia="黑体"/>
          <w:b/>
          <w:sz w:val="24"/>
          <w:szCs w:val="28"/>
        </w:rPr>
        <w:t>3</w:t>
      </w:r>
      <w:r w:rsidR="007355DB">
        <w:rPr>
          <w:rFonts w:eastAsia="黑体" w:hint="eastAsia"/>
          <w:b/>
          <w:sz w:val="24"/>
          <w:szCs w:val="28"/>
        </w:rPr>
        <w:t>.</w:t>
      </w:r>
      <w:r>
        <w:rPr>
          <w:rFonts w:eastAsia="黑体" w:hint="eastAsia"/>
          <w:b/>
          <w:sz w:val="24"/>
          <w:szCs w:val="28"/>
        </w:rPr>
        <w:t>规划年限</w:t>
      </w:r>
      <w:bookmarkEnd w:id="3"/>
    </w:p>
    <w:p w:rsidR="00E841EB" w:rsidRPr="00E841EB" w:rsidRDefault="00E841EB" w:rsidP="00E841EB">
      <w:pPr>
        <w:spacing w:line="360" w:lineRule="auto"/>
        <w:ind w:firstLineChars="200" w:firstLine="480"/>
        <w:rPr>
          <w:rFonts w:eastAsia="宋体"/>
          <w:sz w:val="24"/>
          <w:szCs w:val="24"/>
        </w:rPr>
      </w:pPr>
      <w:r>
        <w:rPr>
          <w:rFonts w:hint="eastAsia"/>
          <w:sz w:val="24"/>
          <w:szCs w:val="24"/>
        </w:rPr>
        <w:t>规划基准年：</w:t>
      </w:r>
      <w:r w:rsidRPr="00E841EB">
        <w:rPr>
          <w:rFonts w:ascii="Times New Roman" w:hAnsi="Times New Roman" w:cs="Times New Roman"/>
          <w:sz w:val="24"/>
          <w:szCs w:val="24"/>
        </w:rPr>
        <w:t>2021</w:t>
      </w:r>
      <w:r>
        <w:rPr>
          <w:rFonts w:hint="eastAsia"/>
          <w:sz w:val="24"/>
          <w:szCs w:val="24"/>
        </w:rPr>
        <w:t>年；近期</w:t>
      </w:r>
      <w:r w:rsidRPr="00E841EB">
        <w:rPr>
          <w:rFonts w:ascii="Times New Roman" w:hAnsi="Times New Roman" w:cs="Times New Roman"/>
          <w:sz w:val="24"/>
          <w:szCs w:val="24"/>
        </w:rPr>
        <w:t>2022-2025</w:t>
      </w:r>
      <w:r>
        <w:rPr>
          <w:rFonts w:hint="eastAsia"/>
          <w:sz w:val="24"/>
          <w:szCs w:val="24"/>
        </w:rPr>
        <w:t>年；远期：</w:t>
      </w:r>
      <w:r w:rsidRPr="00E841EB">
        <w:rPr>
          <w:rFonts w:ascii="Times New Roman" w:hAnsi="Times New Roman" w:cs="Times New Roman"/>
          <w:sz w:val="24"/>
          <w:szCs w:val="24"/>
        </w:rPr>
        <w:t>2026-2035</w:t>
      </w:r>
      <w:r>
        <w:rPr>
          <w:rFonts w:hint="eastAsia"/>
          <w:sz w:val="24"/>
          <w:szCs w:val="24"/>
        </w:rPr>
        <w:t>年。</w:t>
      </w:r>
    </w:p>
    <w:p w:rsidR="00E841EB" w:rsidRDefault="00E841EB" w:rsidP="00E841EB">
      <w:pPr>
        <w:pStyle w:val="a3"/>
        <w:spacing w:beforeLines="100" w:before="312" w:line="360" w:lineRule="auto"/>
        <w:ind w:left="170" w:firstLineChars="0" w:firstLine="0"/>
        <w:outlineLvl w:val="1"/>
        <w:rPr>
          <w:rFonts w:eastAsia="黑体"/>
          <w:b/>
          <w:sz w:val="24"/>
          <w:szCs w:val="28"/>
        </w:rPr>
      </w:pPr>
      <w:bookmarkStart w:id="4" w:name="_Toc139441725"/>
      <w:r w:rsidRPr="00E841EB">
        <w:rPr>
          <w:rFonts w:eastAsia="黑体"/>
          <w:b/>
          <w:sz w:val="24"/>
          <w:szCs w:val="28"/>
        </w:rPr>
        <w:t>4</w:t>
      </w:r>
      <w:r w:rsidR="007355DB">
        <w:rPr>
          <w:rFonts w:eastAsia="黑体" w:hint="eastAsia"/>
          <w:b/>
          <w:sz w:val="24"/>
          <w:szCs w:val="28"/>
        </w:rPr>
        <w:t>.</w:t>
      </w:r>
      <w:r>
        <w:rPr>
          <w:rFonts w:eastAsia="黑体" w:hint="eastAsia"/>
          <w:b/>
          <w:sz w:val="24"/>
          <w:szCs w:val="28"/>
        </w:rPr>
        <w:t>规划对象</w:t>
      </w:r>
      <w:bookmarkEnd w:id="4"/>
    </w:p>
    <w:p w:rsidR="00E841EB" w:rsidRDefault="00E841EB" w:rsidP="00E841EB">
      <w:pPr>
        <w:spacing w:line="360" w:lineRule="auto"/>
        <w:ind w:firstLineChars="200" w:firstLine="480"/>
        <w:rPr>
          <w:rFonts w:eastAsia="宋体"/>
          <w:sz w:val="24"/>
          <w:szCs w:val="24"/>
        </w:rPr>
      </w:pPr>
      <w:r>
        <w:rPr>
          <w:rFonts w:hint="eastAsia"/>
          <w:sz w:val="24"/>
          <w:szCs w:val="24"/>
        </w:rPr>
        <w:t>根据《城市停车规划规范》（</w:t>
      </w:r>
      <w:r w:rsidRPr="00E841EB">
        <w:rPr>
          <w:rFonts w:ascii="Times New Roman" w:hAnsi="Times New Roman" w:cs="Times New Roman"/>
          <w:sz w:val="24"/>
          <w:szCs w:val="24"/>
        </w:rPr>
        <w:t>GB/T51149-2016</w:t>
      </w:r>
      <w:r>
        <w:rPr>
          <w:rFonts w:hint="eastAsia"/>
          <w:sz w:val="24"/>
          <w:szCs w:val="24"/>
        </w:rPr>
        <w:t>），本次规划所指城市停车设施为社会性</w:t>
      </w:r>
      <w:r w:rsidR="0022209A">
        <w:rPr>
          <w:rFonts w:hint="eastAsia"/>
          <w:sz w:val="24"/>
          <w:szCs w:val="24"/>
        </w:rPr>
        <w:t>小</w:t>
      </w:r>
      <w:r>
        <w:rPr>
          <w:rFonts w:hint="eastAsia"/>
          <w:sz w:val="24"/>
          <w:szCs w:val="24"/>
        </w:rPr>
        <w:t>客车的停放设施，不包括公交车、出租车、货车等专业运输车辆、摩托车以及非机动车的停放设施。可分为建筑物配建停车场、城市公共停车场和路内停车场</w:t>
      </w:r>
      <w:r w:rsidR="00AD76BD">
        <w:rPr>
          <w:rFonts w:hint="eastAsia"/>
          <w:sz w:val="24"/>
          <w:szCs w:val="24"/>
        </w:rPr>
        <w:t>三</w:t>
      </w:r>
      <w:r>
        <w:rPr>
          <w:rFonts w:hint="eastAsia"/>
          <w:sz w:val="24"/>
          <w:szCs w:val="24"/>
        </w:rPr>
        <w:t>种类型。</w:t>
      </w:r>
    </w:p>
    <w:p w:rsidR="00E841EB" w:rsidRDefault="00E841EB" w:rsidP="00E841EB">
      <w:pPr>
        <w:pStyle w:val="1"/>
        <w:spacing w:beforeLines="300" w:before="936" w:afterLines="80" w:after="249"/>
        <w:ind w:firstLine="0"/>
        <w:rPr>
          <w:b/>
          <w:sz w:val="32"/>
          <w:szCs w:val="32"/>
        </w:rPr>
      </w:pPr>
      <w:bookmarkStart w:id="5" w:name="_Toc139441729"/>
      <w:r>
        <w:rPr>
          <w:rFonts w:hint="eastAsia"/>
          <w:b/>
          <w:sz w:val="32"/>
          <w:szCs w:val="32"/>
        </w:rPr>
        <w:t>规划目标和策略</w:t>
      </w:r>
      <w:bookmarkEnd w:id="5"/>
    </w:p>
    <w:p w:rsidR="00E841EB" w:rsidRDefault="00E841EB" w:rsidP="00E841EB">
      <w:pPr>
        <w:pStyle w:val="a3"/>
        <w:spacing w:beforeLines="100" w:before="312" w:line="360" w:lineRule="auto"/>
        <w:ind w:left="170" w:firstLineChars="0" w:firstLine="0"/>
        <w:outlineLvl w:val="1"/>
        <w:rPr>
          <w:rFonts w:eastAsia="黑体"/>
          <w:b/>
          <w:sz w:val="24"/>
          <w:szCs w:val="28"/>
        </w:rPr>
      </w:pPr>
      <w:bookmarkStart w:id="6" w:name="_Toc139441730"/>
      <w:r>
        <w:rPr>
          <w:rFonts w:eastAsia="黑体" w:hint="eastAsia"/>
          <w:b/>
          <w:sz w:val="24"/>
          <w:szCs w:val="28"/>
        </w:rPr>
        <w:t>1</w:t>
      </w:r>
      <w:r w:rsidR="007355DB">
        <w:rPr>
          <w:rFonts w:eastAsia="黑体" w:hint="eastAsia"/>
          <w:b/>
          <w:sz w:val="24"/>
          <w:szCs w:val="28"/>
        </w:rPr>
        <w:t>.</w:t>
      </w:r>
      <w:r>
        <w:rPr>
          <w:rFonts w:eastAsia="黑体" w:hint="eastAsia"/>
          <w:b/>
          <w:sz w:val="24"/>
          <w:szCs w:val="28"/>
        </w:rPr>
        <w:t>规划目标</w:t>
      </w:r>
      <w:bookmarkEnd w:id="6"/>
    </w:p>
    <w:p w:rsidR="00E841EB" w:rsidRDefault="00E841EB" w:rsidP="00E841EB">
      <w:pPr>
        <w:spacing w:line="360" w:lineRule="auto"/>
        <w:ind w:firstLineChars="200" w:firstLine="480"/>
        <w:rPr>
          <w:rFonts w:eastAsia="宋体"/>
          <w:sz w:val="24"/>
          <w:szCs w:val="24"/>
        </w:rPr>
      </w:pPr>
      <w:r>
        <w:rPr>
          <w:rFonts w:hint="eastAsia"/>
          <w:sz w:val="24"/>
          <w:szCs w:val="24"/>
        </w:rPr>
        <w:t>通过对枣庄现状停车问题的剖析，结合停车需求预测，合理确定城市停车设施的规划布局，提出停车设施规划、建设、发展的政策建议，形成布局合理、规</w:t>
      </w:r>
      <w:r>
        <w:rPr>
          <w:rFonts w:hint="eastAsia"/>
          <w:sz w:val="24"/>
          <w:szCs w:val="24"/>
        </w:rPr>
        <w:lastRenderedPageBreak/>
        <w:t>模适度、运行高效、智慧智能的停车供给体系，建成以配建停车为主体、公共停车为辅助、路内停车为补充的城市停车格局，引导居民选择合理的交通出行方式，调控机动车动态停车需求，维持城市动静态交通的平衡。</w:t>
      </w:r>
    </w:p>
    <w:p w:rsidR="00E841EB" w:rsidRDefault="00E841EB" w:rsidP="00E841EB">
      <w:pPr>
        <w:pStyle w:val="a3"/>
        <w:spacing w:beforeLines="100" w:before="312" w:line="360" w:lineRule="auto"/>
        <w:ind w:left="170" w:firstLineChars="0" w:firstLine="0"/>
        <w:outlineLvl w:val="1"/>
        <w:rPr>
          <w:rFonts w:eastAsia="黑体"/>
          <w:b/>
          <w:sz w:val="24"/>
          <w:szCs w:val="28"/>
        </w:rPr>
      </w:pPr>
      <w:bookmarkStart w:id="7" w:name="_Toc139441731"/>
      <w:r>
        <w:rPr>
          <w:rFonts w:eastAsia="黑体"/>
          <w:b/>
          <w:sz w:val="24"/>
          <w:szCs w:val="28"/>
        </w:rPr>
        <w:t>2</w:t>
      </w:r>
      <w:r w:rsidR="007355DB">
        <w:rPr>
          <w:rFonts w:eastAsia="黑体" w:hint="eastAsia"/>
          <w:b/>
          <w:sz w:val="24"/>
          <w:szCs w:val="28"/>
        </w:rPr>
        <w:t>.</w:t>
      </w:r>
      <w:r>
        <w:rPr>
          <w:rFonts w:eastAsia="黑体" w:hint="eastAsia"/>
          <w:b/>
          <w:sz w:val="24"/>
          <w:szCs w:val="28"/>
        </w:rPr>
        <w:t>规划策略</w:t>
      </w:r>
      <w:bookmarkEnd w:id="7"/>
    </w:p>
    <w:p w:rsidR="00E841EB" w:rsidRDefault="00E841EB" w:rsidP="00E841EB">
      <w:pPr>
        <w:spacing w:line="360" w:lineRule="auto"/>
        <w:ind w:firstLineChars="200" w:firstLine="480"/>
        <w:rPr>
          <w:rFonts w:eastAsia="宋体"/>
          <w:sz w:val="24"/>
          <w:szCs w:val="24"/>
        </w:rPr>
      </w:pPr>
      <w:r>
        <w:rPr>
          <w:rFonts w:hint="eastAsia"/>
          <w:sz w:val="24"/>
          <w:szCs w:val="24"/>
        </w:rPr>
        <w:t>总量控制。结合停车需求预测，合理确定停车泊位总供应规模，</w:t>
      </w:r>
      <w:proofErr w:type="gramStart"/>
      <w:r>
        <w:rPr>
          <w:rFonts w:hint="eastAsia"/>
          <w:sz w:val="24"/>
          <w:szCs w:val="24"/>
        </w:rPr>
        <w:t>明确近远期路</w:t>
      </w:r>
      <w:proofErr w:type="gramEnd"/>
      <w:r>
        <w:rPr>
          <w:rFonts w:hint="eastAsia"/>
          <w:sz w:val="24"/>
          <w:szCs w:val="24"/>
        </w:rPr>
        <w:t>外、路内停车泊位供应规模。</w:t>
      </w:r>
    </w:p>
    <w:p w:rsidR="00E841EB" w:rsidRDefault="00E841EB" w:rsidP="00E841EB">
      <w:pPr>
        <w:spacing w:line="360" w:lineRule="auto"/>
        <w:ind w:firstLineChars="200" w:firstLine="480"/>
        <w:rPr>
          <w:sz w:val="24"/>
          <w:szCs w:val="24"/>
        </w:rPr>
      </w:pPr>
      <w:r>
        <w:rPr>
          <w:rFonts w:hint="eastAsia"/>
          <w:sz w:val="24"/>
          <w:szCs w:val="24"/>
        </w:rPr>
        <w:t>分区引导。不同地区分区停车场采用差别化的供给比例、配建标准、收费标准和鼓励政策，通过交通资源的分配</w:t>
      </w:r>
      <w:r w:rsidR="00011A44">
        <w:rPr>
          <w:rFonts w:hint="eastAsia"/>
          <w:sz w:val="24"/>
          <w:szCs w:val="24"/>
        </w:rPr>
        <w:t>，实现</w:t>
      </w:r>
      <w:r>
        <w:rPr>
          <w:rFonts w:hint="eastAsia"/>
          <w:sz w:val="24"/>
          <w:szCs w:val="24"/>
        </w:rPr>
        <w:t>在不同区域停车场的差异化建设。</w:t>
      </w:r>
    </w:p>
    <w:p w:rsidR="00E841EB" w:rsidRDefault="00E841EB" w:rsidP="00E841EB">
      <w:pPr>
        <w:spacing w:line="360" w:lineRule="auto"/>
        <w:ind w:firstLineChars="200" w:firstLine="480"/>
        <w:rPr>
          <w:sz w:val="24"/>
          <w:szCs w:val="24"/>
        </w:rPr>
      </w:pPr>
      <w:r>
        <w:rPr>
          <w:rFonts w:hint="eastAsia"/>
          <w:sz w:val="24"/>
          <w:szCs w:val="24"/>
        </w:rPr>
        <w:t>结构优化。根据相关规范确定合理的停车设施供给结构，并对现有不符合规范的路内和道板停车提出整治措施。</w:t>
      </w:r>
    </w:p>
    <w:p w:rsidR="00E841EB" w:rsidRDefault="00E841EB" w:rsidP="00E841EB">
      <w:pPr>
        <w:spacing w:line="360" w:lineRule="auto"/>
        <w:ind w:firstLineChars="200" w:firstLine="480"/>
        <w:rPr>
          <w:sz w:val="24"/>
          <w:szCs w:val="24"/>
        </w:rPr>
      </w:pPr>
      <w:r>
        <w:rPr>
          <w:rFonts w:hint="eastAsia"/>
          <w:sz w:val="24"/>
          <w:szCs w:val="24"/>
        </w:rPr>
        <w:t>挖潜增效。针对部分停车供需矛盾大、土地供应少的</w:t>
      </w:r>
      <w:r w:rsidR="00011A44">
        <w:rPr>
          <w:rFonts w:hint="eastAsia"/>
          <w:sz w:val="24"/>
          <w:szCs w:val="24"/>
        </w:rPr>
        <w:t>区域</w:t>
      </w:r>
      <w:r>
        <w:rPr>
          <w:rFonts w:hint="eastAsia"/>
          <w:sz w:val="24"/>
          <w:szCs w:val="24"/>
        </w:rPr>
        <w:t>，采取立体停车方式满足停车需求。</w:t>
      </w:r>
    </w:p>
    <w:p w:rsidR="00E841EB" w:rsidRDefault="00E841EB" w:rsidP="00E841EB">
      <w:pPr>
        <w:spacing w:line="360" w:lineRule="auto"/>
        <w:ind w:firstLineChars="200" w:firstLine="480"/>
        <w:rPr>
          <w:sz w:val="24"/>
          <w:szCs w:val="24"/>
        </w:rPr>
      </w:pPr>
      <w:r>
        <w:rPr>
          <w:rFonts w:hint="eastAsia"/>
          <w:sz w:val="24"/>
          <w:szCs w:val="24"/>
        </w:rPr>
        <w:t>智慧先行。引入智能停车诱导系统，搭建智慧停车公共服务平台，建设智慧停车管理系统。</w:t>
      </w:r>
    </w:p>
    <w:p w:rsidR="00E841EB" w:rsidRDefault="00E841EB" w:rsidP="00E841EB">
      <w:pPr>
        <w:spacing w:line="360" w:lineRule="auto"/>
        <w:ind w:firstLineChars="200" w:firstLine="480"/>
        <w:rPr>
          <w:sz w:val="24"/>
          <w:szCs w:val="24"/>
        </w:rPr>
      </w:pPr>
      <w:r>
        <w:rPr>
          <w:rFonts w:hint="eastAsia"/>
          <w:sz w:val="24"/>
          <w:szCs w:val="24"/>
        </w:rPr>
        <w:t>政策保障。提出鼓励社会资本注入以及停车收费、管理的相关政策建议，引导停车产业化发展。</w:t>
      </w:r>
    </w:p>
    <w:p w:rsidR="00E841EB" w:rsidRPr="00E841EB" w:rsidRDefault="00E841EB" w:rsidP="00E841EB">
      <w:pPr>
        <w:pStyle w:val="1"/>
        <w:spacing w:beforeLines="300" w:before="936" w:afterLines="80" w:after="249"/>
        <w:ind w:firstLine="0"/>
        <w:rPr>
          <w:b/>
          <w:sz w:val="32"/>
          <w:szCs w:val="32"/>
        </w:rPr>
      </w:pPr>
      <w:bookmarkStart w:id="8" w:name="_Toc139441737"/>
      <w:r>
        <w:rPr>
          <w:rFonts w:hint="eastAsia"/>
          <w:b/>
          <w:sz w:val="32"/>
          <w:szCs w:val="32"/>
        </w:rPr>
        <w:t>路外公共停车场规划</w:t>
      </w:r>
      <w:bookmarkEnd w:id="8"/>
    </w:p>
    <w:p w:rsidR="00E841EB" w:rsidRDefault="00E841EB" w:rsidP="00E841EB">
      <w:pPr>
        <w:spacing w:line="360" w:lineRule="auto"/>
        <w:ind w:firstLineChars="200" w:firstLine="480"/>
        <w:rPr>
          <w:rFonts w:eastAsia="宋体"/>
          <w:sz w:val="24"/>
          <w:szCs w:val="24"/>
        </w:rPr>
      </w:pPr>
      <w:r>
        <w:rPr>
          <w:rFonts w:hint="eastAsia"/>
          <w:sz w:val="24"/>
          <w:szCs w:val="24"/>
        </w:rPr>
        <w:t>落实国土空间总体规划要求并与控制性详细规划协调一致，整合落实原有控</w:t>
      </w:r>
      <w:proofErr w:type="gramStart"/>
      <w:r>
        <w:rPr>
          <w:rFonts w:hint="eastAsia"/>
          <w:sz w:val="24"/>
          <w:szCs w:val="24"/>
        </w:rPr>
        <w:t>规</w:t>
      </w:r>
      <w:proofErr w:type="gramEnd"/>
      <w:r>
        <w:rPr>
          <w:rFonts w:hint="eastAsia"/>
          <w:sz w:val="24"/>
          <w:szCs w:val="24"/>
        </w:rPr>
        <w:t>既定停车场，新增停车场用地需调整规划确定的其它类型用地时，不违反国土空间总体规划的强制性内容。</w:t>
      </w:r>
    </w:p>
    <w:p w:rsidR="00E841EB" w:rsidRDefault="00E841EB" w:rsidP="00E841EB">
      <w:pPr>
        <w:spacing w:line="360" w:lineRule="auto"/>
        <w:ind w:firstLineChars="200" w:firstLine="480"/>
        <w:rPr>
          <w:sz w:val="24"/>
          <w:szCs w:val="24"/>
        </w:rPr>
      </w:pPr>
      <w:r>
        <w:rPr>
          <w:rFonts w:hint="eastAsia"/>
          <w:sz w:val="24"/>
          <w:szCs w:val="24"/>
        </w:rPr>
        <w:t>单个公共停车场规模适宜，根据《城市停车规划规范》（</w:t>
      </w:r>
      <w:r w:rsidRPr="000841A0">
        <w:rPr>
          <w:rFonts w:ascii="Times New Roman" w:hAnsi="Times New Roman" w:cs="Times New Roman"/>
          <w:sz w:val="24"/>
          <w:szCs w:val="24"/>
        </w:rPr>
        <w:t>GB/T51149-2016</w:t>
      </w:r>
      <w:r>
        <w:rPr>
          <w:rFonts w:hint="eastAsia"/>
          <w:sz w:val="24"/>
          <w:szCs w:val="24"/>
        </w:rPr>
        <w:t>）的规定，按照</w:t>
      </w:r>
      <w:r w:rsidRPr="000841A0">
        <w:rPr>
          <w:rFonts w:ascii="Times New Roman" w:hAnsi="Times New Roman" w:cs="Times New Roman"/>
          <w:sz w:val="24"/>
          <w:szCs w:val="24"/>
        </w:rPr>
        <w:t>300-500</w:t>
      </w:r>
      <w:r>
        <w:rPr>
          <w:rFonts w:hint="eastAsia"/>
          <w:sz w:val="24"/>
          <w:szCs w:val="24"/>
        </w:rPr>
        <w:t>米的服务半径均衡布局，局部范围内有大量交通吸引点的地区适度加密；单个停车场泊位数一般不超过</w:t>
      </w:r>
      <w:r w:rsidRPr="000841A0">
        <w:rPr>
          <w:rFonts w:ascii="Times New Roman" w:hAnsi="Times New Roman" w:cs="Times New Roman"/>
          <w:sz w:val="24"/>
          <w:szCs w:val="24"/>
        </w:rPr>
        <w:t>300</w:t>
      </w:r>
      <w:r>
        <w:rPr>
          <w:rFonts w:hint="eastAsia"/>
          <w:sz w:val="24"/>
          <w:szCs w:val="24"/>
        </w:rPr>
        <w:t>个。</w:t>
      </w:r>
    </w:p>
    <w:p w:rsidR="00E841EB" w:rsidRDefault="00E841EB" w:rsidP="00E841EB">
      <w:pPr>
        <w:spacing w:line="360" w:lineRule="auto"/>
        <w:ind w:firstLineChars="200" w:firstLine="480"/>
        <w:rPr>
          <w:sz w:val="24"/>
          <w:szCs w:val="24"/>
        </w:rPr>
      </w:pPr>
      <w:r>
        <w:rPr>
          <w:rFonts w:hint="eastAsia"/>
          <w:sz w:val="24"/>
          <w:szCs w:val="24"/>
        </w:rPr>
        <w:t>新增停车场用地尽量使用控</w:t>
      </w:r>
      <w:proofErr w:type="gramStart"/>
      <w:r>
        <w:rPr>
          <w:rFonts w:hint="eastAsia"/>
          <w:sz w:val="24"/>
          <w:szCs w:val="24"/>
        </w:rPr>
        <w:t>规</w:t>
      </w:r>
      <w:proofErr w:type="gramEnd"/>
      <w:r>
        <w:rPr>
          <w:rFonts w:hint="eastAsia"/>
          <w:sz w:val="24"/>
          <w:szCs w:val="24"/>
        </w:rPr>
        <w:t>中确定的规划用地，尽量减少拆迁；采取独立用地停车场和兼容性停车场相结合的方式满足城市停车需求。</w:t>
      </w:r>
    </w:p>
    <w:p w:rsidR="00E841EB" w:rsidRDefault="00E841EB" w:rsidP="00E841EB">
      <w:pPr>
        <w:spacing w:line="360" w:lineRule="auto"/>
        <w:ind w:firstLineChars="200" w:firstLine="480"/>
        <w:rPr>
          <w:sz w:val="24"/>
          <w:szCs w:val="24"/>
        </w:rPr>
      </w:pPr>
      <w:r>
        <w:rPr>
          <w:rFonts w:hint="eastAsia"/>
          <w:sz w:val="24"/>
          <w:szCs w:val="24"/>
        </w:rPr>
        <w:t>贯彻资源节约的指导思想，采取土地复合利用模式，结合学校操场、广场绿</w:t>
      </w:r>
      <w:r>
        <w:rPr>
          <w:rFonts w:hint="eastAsia"/>
          <w:sz w:val="24"/>
          <w:szCs w:val="24"/>
        </w:rPr>
        <w:lastRenderedPageBreak/>
        <w:t>地、公共服务设施等类型公共设施建设停车场；在用地紧张的地区以地上地下立体停车设施为主，鼓励现有</w:t>
      </w:r>
      <w:r w:rsidR="00AD76BD">
        <w:rPr>
          <w:rFonts w:hint="eastAsia"/>
          <w:sz w:val="24"/>
          <w:szCs w:val="24"/>
        </w:rPr>
        <w:t>停车</w:t>
      </w:r>
      <w:r>
        <w:rPr>
          <w:rFonts w:hint="eastAsia"/>
          <w:sz w:val="24"/>
          <w:szCs w:val="24"/>
        </w:rPr>
        <w:t>设施立体化改造。</w:t>
      </w:r>
    </w:p>
    <w:p w:rsidR="00E841EB" w:rsidRDefault="00E841EB" w:rsidP="00E841EB">
      <w:pPr>
        <w:spacing w:line="360" w:lineRule="auto"/>
        <w:ind w:firstLineChars="200" w:firstLine="480"/>
        <w:rPr>
          <w:sz w:val="24"/>
          <w:szCs w:val="24"/>
        </w:rPr>
      </w:pPr>
      <w:r>
        <w:rPr>
          <w:rFonts w:hint="eastAsia"/>
          <w:sz w:val="24"/>
          <w:szCs w:val="24"/>
        </w:rPr>
        <w:t>一次规划、分步落实，使停车设施建设既</w:t>
      </w:r>
      <w:proofErr w:type="gramStart"/>
      <w:r>
        <w:rPr>
          <w:rFonts w:hint="eastAsia"/>
          <w:sz w:val="24"/>
          <w:szCs w:val="24"/>
        </w:rPr>
        <w:t>能近期</w:t>
      </w:r>
      <w:proofErr w:type="gramEnd"/>
      <w:r>
        <w:rPr>
          <w:rFonts w:hint="eastAsia"/>
          <w:sz w:val="24"/>
          <w:szCs w:val="24"/>
        </w:rPr>
        <w:t>缓和停车矛盾，又能为远期发展预留空间。</w:t>
      </w:r>
    </w:p>
    <w:p w:rsidR="00E841EB" w:rsidRDefault="00E841EB" w:rsidP="00E841EB">
      <w:pPr>
        <w:pStyle w:val="1"/>
        <w:spacing w:beforeLines="300" w:before="936" w:afterLines="80" w:after="249"/>
        <w:ind w:firstLine="0"/>
        <w:rPr>
          <w:b/>
          <w:sz w:val="32"/>
          <w:szCs w:val="32"/>
        </w:rPr>
      </w:pPr>
      <w:bookmarkStart w:id="9" w:name="_Toc139441742"/>
      <w:r>
        <w:rPr>
          <w:rFonts w:hint="eastAsia"/>
          <w:b/>
          <w:sz w:val="32"/>
          <w:szCs w:val="32"/>
        </w:rPr>
        <w:t>路内停车场规划</w:t>
      </w:r>
      <w:bookmarkEnd w:id="9"/>
    </w:p>
    <w:p w:rsidR="00E841EB" w:rsidRDefault="00E841EB" w:rsidP="00E841EB">
      <w:pPr>
        <w:spacing w:line="360" w:lineRule="auto"/>
        <w:ind w:firstLineChars="200" w:firstLine="480"/>
        <w:rPr>
          <w:sz w:val="24"/>
          <w:szCs w:val="24"/>
        </w:rPr>
      </w:pPr>
      <w:r>
        <w:rPr>
          <w:rFonts w:hint="eastAsia"/>
          <w:sz w:val="24"/>
          <w:szCs w:val="24"/>
        </w:rPr>
        <w:t>路内停车与路外公共停车互补，重点在路外停车场覆盖不到的区域新增路内停车，作为对路外公共停车场的补充。</w:t>
      </w:r>
    </w:p>
    <w:p w:rsidR="00E841EB" w:rsidRDefault="00E841EB" w:rsidP="00E841EB">
      <w:pPr>
        <w:spacing w:line="360" w:lineRule="auto"/>
        <w:ind w:firstLineChars="200" w:firstLine="480"/>
        <w:rPr>
          <w:sz w:val="24"/>
          <w:szCs w:val="24"/>
        </w:rPr>
      </w:pPr>
      <w:r>
        <w:rPr>
          <w:rFonts w:hint="eastAsia"/>
          <w:sz w:val="24"/>
          <w:szCs w:val="24"/>
        </w:rPr>
        <w:t>在学校、商业、医院等停车需求大的区域少量布局，学校周边车位以临时停车为主。</w:t>
      </w:r>
    </w:p>
    <w:p w:rsidR="00E841EB" w:rsidRPr="00E841EB" w:rsidRDefault="00E841EB" w:rsidP="00E841EB">
      <w:pPr>
        <w:pStyle w:val="1"/>
        <w:spacing w:beforeLines="300" w:before="936" w:afterLines="80" w:after="249"/>
        <w:ind w:firstLine="0"/>
        <w:rPr>
          <w:b/>
          <w:sz w:val="32"/>
          <w:szCs w:val="32"/>
        </w:rPr>
      </w:pPr>
      <w:r w:rsidRPr="00E841EB">
        <w:rPr>
          <w:rFonts w:hint="eastAsia"/>
          <w:b/>
          <w:sz w:val="32"/>
          <w:szCs w:val="32"/>
        </w:rPr>
        <w:t>近期建设规划</w:t>
      </w:r>
    </w:p>
    <w:p w:rsidR="00E841EB" w:rsidRDefault="00E841EB" w:rsidP="00E841EB">
      <w:pPr>
        <w:spacing w:line="360" w:lineRule="auto"/>
        <w:ind w:firstLineChars="200" w:firstLine="480"/>
        <w:rPr>
          <w:sz w:val="24"/>
          <w:szCs w:val="24"/>
        </w:rPr>
      </w:pPr>
      <w:r>
        <w:rPr>
          <w:rFonts w:hint="eastAsia"/>
          <w:sz w:val="24"/>
          <w:szCs w:val="24"/>
        </w:rPr>
        <w:t>结合地块建设条件，根据实际需求进行停车场建设计划安排，并按照规划开发时序逐步实施，对于建设条件较好的停车场优先保障实施。</w:t>
      </w:r>
    </w:p>
    <w:p w:rsidR="000841A0" w:rsidRDefault="00E841EB" w:rsidP="00E841EB">
      <w:pPr>
        <w:spacing w:line="360" w:lineRule="auto"/>
        <w:ind w:firstLineChars="200" w:firstLine="480"/>
        <w:rPr>
          <w:sz w:val="24"/>
          <w:szCs w:val="24"/>
        </w:rPr>
      </w:pPr>
      <w:r>
        <w:rPr>
          <w:rFonts w:hint="eastAsia"/>
          <w:sz w:val="24"/>
          <w:szCs w:val="24"/>
        </w:rPr>
        <w:t>以缓解</w:t>
      </w:r>
      <w:r>
        <w:rPr>
          <w:rFonts w:ascii="宋体" w:hAnsi="宋体" w:hint="eastAsia"/>
          <w:sz w:val="24"/>
          <w:szCs w:val="24"/>
        </w:rPr>
        <w:t>“停车难”、</w:t>
      </w:r>
      <w:r>
        <w:rPr>
          <w:rFonts w:hint="eastAsia"/>
          <w:sz w:val="24"/>
          <w:szCs w:val="24"/>
        </w:rPr>
        <w:t>服务民生为原则，梳理现状，优先满足供求矛盾突出地区的刚性需求，对于停车弹性需求压力大的地区重点建设，对于停车需求小的地区则适度建设。</w:t>
      </w:r>
    </w:p>
    <w:p w:rsidR="00E841EB" w:rsidRDefault="00E841EB" w:rsidP="00E841EB">
      <w:pPr>
        <w:spacing w:line="360" w:lineRule="auto"/>
        <w:ind w:firstLineChars="200" w:firstLine="480"/>
        <w:rPr>
          <w:sz w:val="24"/>
          <w:szCs w:val="24"/>
        </w:rPr>
      </w:pPr>
      <w:r>
        <w:rPr>
          <w:rFonts w:hint="eastAsia"/>
          <w:sz w:val="24"/>
          <w:szCs w:val="24"/>
        </w:rPr>
        <w:t>挖掘停车需求压力大的地区的用地资源潜力，因地制宜地建设地下停车库、停车楼、机械式立体停车库等节约型停车场</w:t>
      </w:r>
      <w:r w:rsidR="00AD76BD">
        <w:rPr>
          <w:rFonts w:hint="eastAsia"/>
          <w:sz w:val="24"/>
          <w:szCs w:val="24"/>
        </w:rPr>
        <w:t>（库）</w:t>
      </w:r>
      <w:r>
        <w:rPr>
          <w:rFonts w:hint="eastAsia"/>
          <w:sz w:val="24"/>
          <w:szCs w:val="24"/>
        </w:rPr>
        <w:t>。</w:t>
      </w:r>
    </w:p>
    <w:p w:rsidR="000841A0" w:rsidRDefault="000841A0">
      <w:pPr>
        <w:widowControl/>
        <w:jc w:val="left"/>
        <w:rPr>
          <w:sz w:val="24"/>
          <w:szCs w:val="24"/>
        </w:rPr>
      </w:pPr>
      <w:r>
        <w:rPr>
          <w:sz w:val="24"/>
          <w:szCs w:val="24"/>
        </w:rPr>
        <w:br w:type="page"/>
      </w:r>
    </w:p>
    <w:p w:rsidR="000841A0" w:rsidRPr="000841A0" w:rsidRDefault="000841A0" w:rsidP="000841A0">
      <w:pPr>
        <w:pStyle w:val="1"/>
        <w:numPr>
          <w:ilvl w:val="0"/>
          <w:numId w:val="0"/>
        </w:numPr>
        <w:spacing w:beforeLines="300" w:before="936" w:afterLines="80" w:after="249"/>
        <w:ind w:left="-400"/>
        <w:rPr>
          <w:b/>
          <w:sz w:val="32"/>
          <w:szCs w:val="32"/>
        </w:rPr>
      </w:pPr>
      <w:r w:rsidRPr="000841A0">
        <w:rPr>
          <w:rFonts w:hint="eastAsia"/>
          <w:b/>
          <w:sz w:val="32"/>
          <w:szCs w:val="32"/>
        </w:rPr>
        <w:lastRenderedPageBreak/>
        <w:t>附图</w:t>
      </w:r>
    </w:p>
    <w:p w:rsidR="000841A0" w:rsidRPr="000841A0" w:rsidRDefault="000841A0" w:rsidP="000841A0">
      <w:pPr>
        <w:spacing w:line="360" w:lineRule="auto"/>
        <w:ind w:firstLineChars="200" w:firstLine="480"/>
        <w:rPr>
          <w:sz w:val="24"/>
          <w:szCs w:val="24"/>
        </w:rPr>
      </w:pPr>
      <w:r w:rsidRPr="000841A0">
        <w:rPr>
          <w:rFonts w:ascii="Times New Roman" w:hAnsi="Times New Roman" w:cs="Times New Roman"/>
          <w:sz w:val="24"/>
          <w:szCs w:val="24"/>
        </w:rPr>
        <w:t>1</w:t>
      </w:r>
      <w:r w:rsidR="007355DB">
        <w:rPr>
          <w:rFonts w:ascii="Times New Roman" w:hAnsi="Times New Roman" w:cs="Times New Roman" w:hint="eastAsia"/>
          <w:sz w:val="24"/>
          <w:szCs w:val="24"/>
        </w:rPr>
        <w:t>.</w:t>
      </w:r>
      <w:r w:rsidRPr="000841A0">
        <w:rPr>
          <w:rFonts w:hint="eastAsia"/>
          <w:sz w:val="24"/>
          <w:szCs w:val="24"/>
        </w:rPr>
        <w:t>规划范围图</w:t>
      </w:r>
    </w:p>
    <w:p w:rsidR="000841A0" w:rsidRPr="000841A0" w:rsidRDefault="000841A0" w:rsidP="000841A0">
      <w:pPr>
        <w:spacing w:line="360" w:lineRule="auto"/>
        <w:ind w:firstLineChars="200" w:firstLine="480"/>
        <w:rPr>
          <w:sz w:val="24"/>
          <w:szCs w:val="24"/>
        </w:rPr>
      </w:pPr>
      <w:r w:rsidRPr="000841A0">
        <w:rPr>
          <w:rFonts w:ascii="Times New Roman" w:hAnsi="Times New Roman" w:cs="Times New Roman"/>
          <w:sz w:val="24"/>
          <w:szCs w:val="24"/>
        </w:rPr>
        <w:t>2</w:t>
      </w:r>
      <w:r w:rsidR="007355DB">
        <w:rPr>
          <w:rFonts w:ascii="Times New Roman" w:hAnsi="Times New Roman" w:cs="Times New Roman" w:hint="eastAsia"/>
          <w:sz w:val="24"/>
          <w:szCs w:val="24"/>
        </w:rPr>
        <w:t>.</w:t>
      </w:r>
      <w:r w:rsidRPr="000841A0">
        <w:rPr>
          <w:rFonts w:hint="eastAsia"/>
          <w:sz w:val="24"/>
          <w:szCs w:val="24"/>
        </w:rPr>
        <w:t>停车分区图</w:t>
      </w:r>
      <w:bookmarkStart w:id="10" w:name="_GoBack"/>
      <w:bookmarkEnd w:id="10"/>
    </w:p>
    <w:p w:rsidR="000841A0" w:rsidRPr="000841A0" w:rsidRDefault="000841A0" w:rsidP="000841A0">
      <w:pPr>
        <w:spacing w:line="360" w:lineRule="auto"/>
        <w:ind w:firstLineChars="200" w:firstLine="480"/>
        <w:rPr>
          <w:sz w:val="24"/>
          <w:szCs w:val="24"/>
        </w:rPr>
      </w:pPr>
      <w:r w:rsidRPr="000841A0">
        <w:rPr>
          <w:rFonts w:ascii="Times New Roman" w:hAnsi="Times New Roman" w:cs="Times New Roman"/>
          <w:sz w:val="24"/>
          <w:szCs w:val="24"/>
        </w:rPr>
        <w:t>3</w:t>
      </w:r>
      <w:r w:rsidR="007355DB">
        <w:rPr>
          <w:rFonts w:ascii="Times New Roman" w:hAnsi="Times New Roman" w:cs="Times New Roman" w:hint="eastAsia"/>
          <w:sz w:val="24"/>
          <w:szCs w:val="24"/>
        </w:rPr>
        <w:t>.</w:t>
      </w:r>
      <w:r>
        <w:rPr>
          <w:rFonts w:hint="eastAsia"/>
          <w:sz w:val="24"/>
          <w:szCs w:val="24"/>
        </w:rPr>
        <w:t>路外公共停车场规划</w:t>
      </w:r>
      <w:r w:rsidRPr="000841A0">
        <w:rPr>
          <w:rFonts w:hint="eastAsia"/>
          <w:sz w:val="24"/>
          <w:szCs w:val="24"/>
        </w:rPr>
        <w:t>图</w:t>
      </w:r>
    </w:p>
    <w:p w:rsidR="000841A0" w:rsidRDefault="000841A0" w:rsidP="00E841EB">
      <w:pPr>
        <w:spacing w:line="360" w:lineRule="auto"/>
        <w:ind w:firstLineChars="200" w:firstLine="480"/>
        <w:rPr>
          <w:sz w:val="24"/>
          <w:szCs w:val="24"/>
        </w:rPr>
      </w:pPr>
      <w:r w:rsidRPr="000841A0">
        <w:rPr>
          <w:rFonts w:ascii="Times New Roman" w:hAnsi="Times New Roman" w:cs="Times New Roman"/>
          <w:sz w:val="24"/>
          <w:szCs w:val="24"/>
        </w:rPr>
        <w:t>4</w:t>
      </w:r>
      <w:r w:rsidR="007355DB">
        <w:rPr>
          <w:rFonts w:ascii="Times New Roman" w:hAnsi="Times New Roman" w:cs="Times New Roman" w:hint="eastAsia"/>
          <w:sz w:val="24"/>
          <w:szCs w:val="24"/>
        </w:rPr>
        <w:t>.</w:t>
      </w:r>
      <w:r>
        <w:rPr>
          <w:rFonts w:hint="eastAsia"/>
          <w:sz w:val="24"/>
          <w:szCs w:val="24"/>
        </w:rPr>
        <w:t>路内停车规划</w:t>
      </w:r>
      <w:r w:rsidRPr="000841A0">
        <w:rPr>
          <w:rFonts w:hint="eastAsia"/>
          <w:sz w:val="24"/>
          <w:szCs w:val="24"/>
        </w:rPr>
        <w:t>图</w:t>
      </w:r>
    </w:p>
    <w:p w:rsidR="00E841EB" w:rsidRPr="000841A0" w:rsidRDefault="000841A0" w:rsidP="000841A0">
      <w:pPr>
        <w:widowControl/>
        <w:jc w:val="left"/>
        <w:rPr>
          <w:sz w:val="24"/>
          <w:szCs w:val="24"/>
        </w:rPr>
      </w:pPr>
      <w:r>
        <w:rPr>
          <w:sz w:val="24"/>
          <w:szCs w:val="24"/>
        </w:rPr>
        <w:br w:type="page"/>
      </w:r>
    </w:p>
    <w:p w:rsidR="000841A0" w:rsidRDefault="007355DB">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293.25pt">
            <v:imagedata r:id="rId5" o:title="0705图集-1"/>
          </v:shape>
        </w:pict>
      </w:r>
      <w:r w:rsidR="000841A0">
        <w:rPr>
          <w:rFonts w:hint="eastAsia"/>
          <w:noProof/>
        </w:rPr>
        <w:drawing>
          <wp:inline distT="0" distB="0" distL="0" distR="0">
            <wp:extent cx="5273675" cy="3721100"/>
            <wp:effectExtent l="0" t="0" r="3175" b="0"/>
            <wp:docPr id="1" name="图片 1" descr="C:\Users\msi-pc\AppData\Local\Microsoft\Windows\INetCache\Content.Word\0705图集-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si-pc\AppData\Local\Microsoft\Windows\INetCache\Content.Word\0705图集-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73675" cy="3721100"/>
                    </a:xfrm>
                    <a:prstGeom prst="rect">
                      <a:avLst/>
                    </a:prstGeom>
                    <a:noFill/>
                    <a:ln>
                      <a:noFill/>
                    </a:ln>
                  </pic:spPr>
                </pic:pic>
              </a:graphicData>
            </a:graphic>
          </wp:inline>
        </w:drawing>
      </w:r>
    </w:p>
    <w:p w:rsidR="000841A0" w:rsidRDefault="000841A0"/>
    <w:p w:rsidR="000841A0" w:rsidRDefault="000841A0"/>
    <w:p w:rsidR="00E841EB" w:rsidRPr="00E841EB" w:rsidRDefault="000841A0">
      <w:r>
        <w:rPr>
          <w:rFonts w:hint="eastAsia"/>
          <w:noProof/>
        </w:rPr>
        <w:lastRenderedPageBreak/>
        <w:drawing>
          <wp:inline distT="0" distB="0" distL="0" distR="0">
            <wp:extent cx="5273675" cy="3721100"/>
            <wp:effectExtent l="0" t="0" r="3175" b="0"/>
            <wp:docPr id="2" name="图片 2" descr="C:\Users\msi-pc\AppData\Local\Microsoft\Windows\INetCache\Content.Word\0705图集-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si-pc\AppData\Local\Microsoft\Windows\INetCache\Content.Word\0705图集-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3675" cy="3721100"/>
                    </a:xfrm>
                    <a:prstGeom prst="rect">
                      <a:avLst/>
                    </a:prstGeom>
                    <a:noFill/>
                    <a:ln>
                      <a:noFill/>
                    </a:ln>
                  </pic:spPr>
                </pic:pic>
              </a:graphicData>
            </a:graphic>
          </wp:inline>
        </w:drawing>
      </w:r>
      <w:r w:rsidR="007355DB">
        <w:pict>
          <v:shape id="_x0000_i1026" type="#_x0000_t75" style="width:415.5pt;height:293.25pt">
            <v:imagedata r:id="rId8" o:title="0705图集-16"/>
          </v:shape>
        </w:pict>
      </w:r>
    </w:p>
    <w:sectPr w:rsidR="00E841EB" w:rsidRPr="00E841EB">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17906"/>
    <w:multiLevelType w:val="multilevel"/>
    <w:tmpl w:val="7458C044"/>
    <w:lvl w:ilvl="0">
      <w:start w:val="1"/>
      <w:numFmt w:val="chineseCountingThousand"/>
      <w:suff w:val="nothing"/>
      <w:lvlText w:val="第%1条 "/>
      <w:lvlJc w:val="left"/>
      <w:pPr>
        <w:ind w:left="170" w:hanging="170"/>
      </w:pPr>
      <w:rPr>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0FFE3D57"/>
    <w:multiLevelType w:val="multilevel"/>
    <w:tmpl w:val="0FFE3D57"/>
    <w:lvl w:ilvl="0">
      <w:start w:val="1"/>
      <w:numFmt w:val="chineseCountingThousand"/>
      <w:pStyle w:val="1"/>
      <w:suff w:val="space"/>
      <w:lvlText w:val="第%1章"/>
      <w:lvlJc w:val="center"/>
      <w:pPr>
        <w:ind w:left="-400" w:firstLine="400"/>
      </w:pPr>
      <w:rPr>
        <w:b/>
        <w:bCs w:val="0"/>
        <w:i w:val="0"/>
        <w:iCs w:val="0"/>
        <w:caps w:val="0"/>
        <w:smallCaps w:val="0"/>
        <w:strike w:val="0"/>
        <w:dstrike w:val="0"/>
        <w:outline w:val="0"/>
        <w:shadow w:val="0"/>
        <w:emboss w:val="0"/>
        <w:imprint w:val="0"/>
        <w:vanish w:val="0"/>
        <w:webHidden w:val="0"/>
        <w:spacing w:val="0"/>
        <w:position w:val="0"/>
        <w:sz w:val="32"/>
        <w:szCs w:val="32"/>
        <w:u w:val="none"/>
        <w:effect w:val="none"/>
        <w:vertAlign w:val="baseline"/>
        <w:lang w:val="en-US"/>
        <w:specVanish w:val="0"/>
      </w:rPr>
    </w:lvl>
    <w:lvl w:ilvl="1">
      <w:start w:val="1"/>
      <w:numFmt w:val="decimal"/>
      <w:pStyle w:val="2"/>
      <w:isLgl/>
      <w:suff w:val="space"/>
      <w:lvlText w:val="%1.%2"/>
      <w:lvlJc w:val="left"/>
      <w:pPr>
        <w:ind w:left="0" w:firstLine="0"/>
      </w:pPr>
      <w:rPr>
        <w:rFonts w:ascii="黑体" w:eastAsia="黑体" w:hAnsi="黑体" w:hint="eastAsia"/>
        <w:b w:val="0"/>
        <w:i w:val="0"/>
        <w:sz w:val="28"/>
        <w:lang w:val="zh-CN"/>
      </w:rPr>
    </w:lvl>
    <w:lvl w:ilvl="2">
      <w:start w:val="1"/>
      <w:numFmt w:val="decimal"/>
      <w:pStyle w:val="3"/>
      <w:isLgl/>
      <w:suff w:val="space"/>
      <w:lvlText w:val="%1.%2.%3"/>
      <w:lvlJc w:val="left"/>
      <w:pPr>
        <w:ind w:left="0" w:firstLine="0"/>
      </w:pPr>
      <w:rPr>
        <w:rFonts w:ascii="黑体" w:eastAsia="黑体" w:hAnsi="黑体" w:hint="eastAsia"/>
        <w:b w:val="0"/>
        <w:i w:val="0"/>
        <w:sz w:val="24"/>
        <w:lang w:val="zh-CN"/>
      </w:rPr>
    </w:lvl>
    <w:lvl w:ilvl="3">
      <w:start w:val="1"/>
      <w:numFmt w:val="decimal"/>
      <w:pStyle w:val="4"/>
      <w:isLgl/>
      <w:suff w:val="space"/>
      <w:lvlText w:val="%1.%2.%3.%4"/>
      <w:lvlJc w:val="left"/>
      <w:pPr>
        <w:ind w:left="0" w:firstLine="0"/>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 w15:restartNumberingAfterBreak="0">
    <w:nsid w:val="216A0E2F"/>
    <w:multiLevelType w:val="multilevel"/>
    <w:tmpl w:val="216A0E2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41EB"/>
    <w:rsid w:val="00011A44"/>
    <w:rsid w:val="000841A0"/>
    <w:rsid w:val="0022209A"/>
    <w:rsid w:val="00473B6A"/>
    <w:rsid w:val="00592227"/>
    <w:rsid w:val="007355DB"/>
    <w:rsid w:val="008811A7"/>
    <w:rsid w:val="00AD76BD"/>
    <w:rsid w:val="00E84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AC9042"/>
  <w15:chartTrackingRefBased/>
  <w15:docId w15:val="{37C531A2-64F0-4E4B-AA58-DBF53C8D5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qFormat/>
    <w:rsid w:val="00E841EB"/>
    <w:pPr>
      <w:keepNext/>
      <w:keepLines/>
      <w:numPr>
        <w:numId w:val="2"/>
      </w:numPr>
      <w:spacing w:line="360" w:lineRule="auto"/>
      <w:jc w:val="center"/>
      <w:outlineLvl w:val="0"/>
    </w:pPr>
    <w:rPr>
      <w:rFonts w:ascii="Times New Roman" w:eastAsia="黑体" w:hAnsi="Times New Roman" w:cs="Times New Roman"/>
      <w:kern w:val="44"/>
      <w:sz w:val="30"/>
      <w:szCs w:val="20"/>
    </w:rPr>
  </w:style>
  <w:style w:type="paragraph" w:styleId="2">
    <w:name w:val="heading 2"/>
    <w:basedOn w:val="a"/>
    <w:next w:val="a"/>
    <w:link w:val="20"/>
    <w:uiPriority w:val="9"/>
    <w:semiHidden/>
    <w:unhideWhenUsed/>
    <w:qFormat/>
    <w:rsid w:val="00E841EB"/>
    <w:pPr>
      <w:keepNext/>
      <w:keepLines/>
      <w:numPr>
        <w:ilvl w:val="1"/>
        <w:numId w:val="2"/>
      </w:numPr>
      <w:spacing w:before="260" w:after="260" w:line="415"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semiHidden/>
    <w:unhideWhenUsed/>
    <w:qFormat/>
    <w:rsid w:val="00E841EB"/>
    <w:pPr>
      <w:keepNext/>
      <w:keepLines/>
      <w:numPr>
        <w:ilvl w:val="2"/>
        <w:numId w:val="2"/>
      </w:numPr>
      <w:spacing w:before="260" w:after="260" w:line="415" w:lineRule="auto"/>
      <w:outlineLvl w:val="2"/>
    </w:pPr>
    <w:rPr>
      <w:rFonts w:ascii="Times New Roman" w:eastAsia="宋体" w:hAnsi="Times New Roman" w:cs="Times New Roman"/>
      <w:b/>
      <w:bCs/>
      <w:sz w:val="32"/>
      <w:szCs w:val="32"/>
    </w:rPr>
  </w:style>
  <w:style w:type="paragraph" w:styleId="4">
    <w:name w:val="heading 4"/>
    <w:basedOn w:val="a"/>
    <w:next w:val="a"/>
    <w:link w:val="40"/>
    <w:uiPriority w:val="9"/>
    <w:semiHidden/>
    <w:unhideWhenUsed/>
    <w:qFormat/>
    <w:rsid w:val="00E841EB"/>
    <w:pPr>
      <w:keepNext/>
      <w:keepLines/>
      <w:numPr>
        <w:ilvl w:val="3"/>
        <w:numId w:val="2"/>
      </w:numPr>
      <w:spacing w:before="280" w:after="290" w:line="374"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841EB"/>
    <w:pPr>
      <w:ind w:firstLineChars="200" w:firstLine="420"/>
    </w:pPr>
    <w:rPr>
      <w:rFonts w:ascii="Times New Roman" w:eastAsia="宋体" w:hAnsi="Times New Roman" w:cs="Times New Roman"/>
      <w:szCs w:val="20"/>
    </w:rPr>
  </w:style>
  <w:style w:type="character" w:customStyle="1" w:styleId="10">
    <w:name w:val="标题 1 字符"/>
    <w:basedOn w:val="a0"/>
    <w:link w:val="1"/>
    <w:qFormat/>
    <w:rsid w:val="00E841EB"/>
    <w:rPr>
      <w:rFonts w:ascii="Times New Roman" w:eastAsia="黑体" w:hAnsi="Times New Roman" w:cs="Times New Roman"/>
      <w:kern w:val="44"/>
      <w:sz w:val="30"/>
      <w:szCs w:val="20"/>
    </w:rPr>
  </w:style>
  <w:style w:type="character" w:customStyle="1" w:styleId="20">
    <w:name w:val="标题 2 字符"/>
    <w:basedOn w:val="a0"/>
    <w:link w:val="2"/>
    <w:uiPriority w:val="9"/>
    <w:semiHidden/>
    <w:rsid w:val="00E841EB"/>
    <w:rPr>
      <w:rFonts w:asciiTheme="majorHAnsi" w:eastAsiaTheme="majorEastAsia" w:hAnsiTheme="majorHAnsi" w:cstheme="majorBidi"/>
      <w:b/>
      <w:bCs/>
      <w:sz w:val="32"/>
      <w:szCs w:val="32"/>
    </w:rPr>
  </w:style>
  <w:style w:type="character" w:customStyle="1" w:styleId="30">
    <w:name w:val="标题 3 字符"/>
    <w:basedOn w:val="a0"/>
    <w:link w:val="3"/>
    <w:uiPriority w:val="9"/>
    <w:semiHidden/>
    <w:rsid w:val="00E841EB"/>
    <w:rPr>
      <w:rFonts w:ascii="Times New Roman" w:eastAsia="宋体" w:hAnsi="Times New Roman" w:cs="Times New Roman"/>
      <w:b/>
      <w:bCs/>
      <w:sz w:val="32"/>
      <w:szCs w:val="32"/>
    </w:rPr>
  </w:style>
  <w:style w:type="character" w:customStyle="1" w:styleId="40">
    <w:name w:val="标题 4 字符"/>
    <w:basedOn w:val="a0"/>
    <w:link w:val="4"/>
    <w:uiPriority w:val="9"/>
    <w:semiHidden/>
    <w:rsid w:val="00E841EB"/>
    <w:rPr>
      <w:rFonts w:asciiTheme="majorHAnsi" w:eastAsiaTheme="majorEastAsia" w:hAnsiTheme="majorHAnsi" w:cstheme="majorBidi"/>
      <w:b/>
      <w:bCs/>
      <w:sz w:val="28"/>
      <w:szCs w:val="28"/>
    </w:rPr>
  </w:style>
  <w:style w:type="character" w:styleId="a4">
    <w:name w:val="Hyperlink"/>
    <w:basedOn w:val="a0"/>
    <w:uiPriority w:val="99"/>
    <w:semiHidden/>
    <w:unhideWhenUsed/>
    <w:rsid w:val="00E841EB"/>
    <w:rPr>
      <w:color w:val="0000FF"/>
      <w:u w:val="single"/>
    </w:rPr>
  </w:style>
  <w:style w:type="paragraph" w:styleId="TOC1">
    <w:name w:val="toc 1"/>
    <w:basedOn w:val="a"/>
    <w:next w:val="a"/>
    <w:autoRedefine/>
    <w:uiPriority w:val="39"/>
    <w:semiHidden/>
    <w:unhideWhenUsed/>
    <w:rsid w:val="000841A0"/>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4849076">
      <w:bodyDiv w:val="1"/>
      <w:marLeft w:val="0"/>
      <w:marRight w:val="0"/>
      <w:marTop w:val="0"/>
      <w:marBottom w:val="0"/>
      <w:divBdr>
        <w:top w:val="none" w:sz="0" w:space="0" w:color="auto"/>
        <w:left w:val="none" w:sz="0" w:space="0" w:color="auto"/>
        <w:bottom w:val="none" w:sz="0" w:space="0" w:color="auto"/>
        <w:right w:val="none" w:sz="0" w:space="0" w:color="auto"/>
      </w:divBdr>
    </w:div>
    <w:div w:id="448743672">
      <w:bodyDiv w:val="1"/>
      <w:marLeft w:val="0"/>
      <w:marRight w:val="0"/>
      <w:marTop w:val="0"/>
      <w:marBottom w:val="0"/>
      <w:divBdr>
        <w:top w:val="none" w:sz="0" w:space="0" w:color="auto"/>
        <w:left w:val="none" w:sz="0" w:space="0" w:color="auto"/>
        <w:bottom w:val="none" w:sz="0" w:space="0" w:color="auto"/>
        <w:right w:val="none" w:sz="0" w:space="0" w:color="auto"/>
      </w:divBdr>
    </w:div>
    <w:div w:id="502085712">
      <w:bodyDiv w:val="1"/>
      <w:marLeft w:val="0"/>
      <w:marRight w:val="0"/>
      <w:marTop w:val="0"/>
      <w:marBottom w:val="0"/>
      <w:divBdr>
        <w:top w:val="none" w:sz="0" w:space="0" w:color="auto"/>
        <w:left w:val="none" w:sz="0" w:space="0" w:color="auto"/>
        <w:bottom w:val="none" w:sz="0" w:space="0" w:color="auto"/>
        <w:right w:val="none" w:sz="0" w:space="0" w:color="auto"/>
      </w:divBdr>
    </w:div>
    <w:div w:id="520969673">
      <w:bodyDiv w:val="1"/>
      <w:marLeft w:val="0"/>
      <w:marRight w:val="0"/>
      <w:marTop w:val="0"/>
      <w:marBottom w:val="0"/>
      <w:divBdr>
        <w:top w:val="none" w:sz="0" w:space="0" w:color="auto"/>
        <w:left w:val="none" w:sz="0" w:space="0" w:color="auto"/>
        <w:bottom w:val="none" w:sz="0" w:space="0" w:color="auto"/>
        <w:right w:val="none" w:sz="0" w:space="0" w:color="auto"/>
      </w:divBdr>
    </w:div>
    <w:div w:id="531843020">
      <w:bodyDiv w:val="1"/>
      <w:marLeft w:val="0"/>
      <w:marRight w:val="0"/>
      <w:marTop w:val="0"/>
      <w:marBottom w:val="0"/>
      <w:divBdr>
        <w:top w:val="none" w:sz="0" w:space="0" w:color="auto"/>
        <w:left w:val="none" w:sz="0" w:space="0" w:color="auto"/>
        <w:bottom w:val="none" w:sz="0" w:space="0" w:color="auto"/>
        <w:right w:val="none" w:sz="0" w:space="0" w:color="auto"/>
      </w:divBdr>
    </w:div>
    <w:div w:id="584805129">
      <w:bodyDiv w:val="1"/>
      <w:marLeft w:val="0"/>
      <w:marRight w:val="0"/>
      <w:marTop w:val="0"/>
      <w:marBottom w:val="0"/>
      <w:divBdr>
        <w:top w:val="none" w:sz="0" w:space="0" w:color="auto"/>
        <w:left w:val="none" w:sz="0" w:space="0" w:color="auto"/>
        <w:bottom w:val="none" w:sz="0" w:space="0" w:color="auto"/>
        <w:right w:val="none" w:sz="0" w:space="0" w:color="auto"/>
      </w:divBdr>
    </w:div>
    <w:div w:id="1265697665">
      <w:bodyDiv w:val="1"/>
      <w:marLeft w:val="0"/>
      <w:marRight w:val="0"/>
      <w:marTop w:val="0"/>
      <w:marBottom w:val="0"/>
      <w:divBdr>
        <w:top w:val="none" w:sz="0" w:space="0" w:color="auto"/>
        <w:left w:val="none" w:sz="0" w:space="0" w:color="auto"/>
        <w:bottom w:val="none" w:sz="0" w:space="0" w:color="auto"/>
        <w:right w:val="none" w:sz="0" w:space="0" w:color="auto"/>
      </w:divBdr>
    </w:div>
    <w:div w:id="1363625315">
      <w:bodyDiv w:val="1"/>
      <w:marLeft w:val="0"/>
      <w:marRight w:val="0"/>
      <w:marTop w:val="0"/>
      <w:marBottom w:val="0"/>
      <w:divBdr>
        <w:top w:val="none" w:sz="0" w:space="0" w:color="auto"/>
        <w:left w:val="none" w:sz="0" w:space="0" w:color="auto"/>
        <w:bottom w:val="none" w:sz="0" w:space="0" w:color="auto"/>
        <w:right w:val="none" w:sz="0" w:space="0" w:color="auto"/>
      </w:divBdr>
    </w:div>
    <w:div w:id="1948081900">
      <w:bodyDiv w:val="1"/>
      <w:marLeft w:val="0"/>
      <w:marRight w:val="0"/>
      <w:marTop w:val="0"/>
      <w:marBottom w:val="0"/>
      <w:divBdr>
        <w:top w:val="none" w:sz="0" w:space="0" w:color="auto"/>
        <w:left w:val="none" w:sz="0" w:space="0" w:color="auto"/>
        <w:bottom w:val="none" w:sz="0" w:space="0" w:color="auto"/>
        <w:right w:val="none" w:sz="0" w:space="0" w:color="auto"/>
      </w:divBdr>
    </w:div>
    <w:div w:id="199637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6</Pages>
  <Words>237</Words>
  <Characters>1356</Characters>
  <Application>Microsoft Office Word</Application>
  <DocSecurity>0</DocSecurity>
  <Lines>11</Lines>
  <Paragraphs>3</Paragraphs>
  <ScaleCrop>false</ScaleCrop>
  <Company>Microsoft</Company>
  <LinksUpToDate>false</LinksUpToDate>
  <CharactersWithSpaces>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吴 凯</dc:creator>
  <cp:keywords/>
  <dc:description/>
  <cp:lastModifiedBy>baolin</cp:lastModifiedBy>
  <cp:revision>4</cp:revision>
  <dcterms:created xsi:type="dcterms:W3CDTF">2023-07-06T02:13:00Z</dcterms:created>
  <dcterms:modified xsi:type="dcterms:W3CDTF">2023-07-06T07:11:00Z</dcterms:modified>
</cp:coreProperties>
</file>